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6F727ED9"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DB1306">
        <w:rPr>
          <w:rFonts w:ascii="Arial" w:eastAsia="SimSun" w:hAnsi="Arial" w:cs="Arial"/>
          <w:b/>
          <w:kern w:val="2"/>
          <w:sz w:val="22"/>
          <w:szCs w:val="22"/>
          <w:lang w:val="en-US" w:eastAsia="zh-CN"/>
        </w:rPr>
        <w:t>2</w:t>
      </w:r>
      <w:r w:rsidR="006E680D">
        <w:rPr>
          <w:rFonts w:ascii="Arial" w:eastAsia="SimSun" w:hAnsi="Arial" w:cs="Arial"/>
          <w:b/>
          <w:kern w:val="2"/>
          <w:sz w:val="22"/>
          <w:szCs w:val="22"/>
          <w:lang w:val="en-US" w:eastAsia="zh-CN"/>
        </w:rPr>
        <w:t>1</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w:t>
      </w:r>
      <w:r w:rsidR="00235FF1">
        <w:rPr>
          <w:rFonts w:ascii="Arial" w:eastAsia="SimSun" w:hAnsi="Arial" w:cs="Arial"/>
          <w:b/>
          <w:kern w:val="2"/>
          <w:sz w:val="22"/>
          <w:szCs w:val="22"/>
          <w:lang w:val="en-US" w:eastAsia="zh-CN"/>
        </w:rPr>
        <w:t>3</w:t>
      </w:r>
      <w:r w:rsidR="006E680D">
        <w:rPr>
          <w:rFonts w:ascii="Arial" w:eastAsia="SimSun" w:hAnsi="Arial" w:cs="Arial"/>
          <w:b/>
          <w:kern w:val="2"/>
          <w:sz w:val="22"/>
          <w:szCs w:val="22"/>
          <w:lang w:val="en-US" w:eastAsia="zh-CN"/>
        </w:rPr>
        <w:t>00272</w:t>
      </w:r>
    </w:p>
    <w:p w14:paraId="03096DEE" w14:textId="6072B53A" w:rsidR="00B9228A" w:rsidRPr="00FC40BF" w:rsidRDefault="006E680D"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Pr>
          <w:rFonts w:ascii="Arial" w:eastAsia="SimSun" w:hAnsi="Arial" w:cs="Arial"/>
          <w:b/>
          <w:kern w:val="2"/>
          <w:sz w:val="22"/>
          <w:szCs w:val="22"/>
          <w:lang w:val="en-US" w:eastAsia="zh-CN"/>
        </w:rPr>
        <w:t>Athens</w:t>
      </w:r>
      <w:r w:rsidR="00DB1306">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GR</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Feb</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27</w:t>
      </w:r>
      <w:r w:rsidR="001F5BA1" w:rsidRPr="00FC40BF">
        <w:rPr>
          <w:rFonts w:ascii="Arial" w:eastAsia="SimSun" w:hAnsi="Arial" w:cs="Arial"/>
          <w:b/>
          <w:kern w:val="2"/>
          <w:sz w:val="22"/>
          <w:szCs w:val="22"/>
          <w:vertAlign w:val="superscript"/>
          <w:lang w:val="en-US" w:eastAsia="zh-CN"/>
        </w:rPr>
        <w:t>th</w:t>
      </w:r>
      <w:r w:rsidR="001F5BA1"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March 03</w:t>
      </w:r>
      <w:r w:rsidR="001F5BA1"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w:t>
      </w:r>
      <w:r>
        <w:rPr>
          <w:rFonts w:ascii="Arial" w:eastAsia="SimSun" w:hAnsi="Arial" w:cs="Arial"/>
          <w:b/>
          <w:kern w:val="2"/>
          <w:sz w:val="22"/>
          <w:szCs w:val="22"/>
          <w:lang w:val="en-US" w:eastAsia="zh-CN"/>
        </w:rPr>
        <w:t>3</w:t>
      </w:r>
      <w:r w:rsidR="00DB1306">
        <w:rPr>
          <w:rFonts w:ascii="Arial" w:eastAsia="SimSun" w:hAnsi="Arial" w:cs="Arial"/>
          <w:b/>
          <w:kern w:val="2"/>
          <w:sz w:val="22"/>
          <w:szCs w:val="22"/>
          <w:lang w:val="en-US" w:eastAsia="zh-CN"/>
        </w:rPr>
        <w:t xml:space="preserve">                                            (Revision of R2-22</w:t>
      </w:r>
      <w:r>
        <w:rPr>
          <w:rFonts w:ascii="Arial" w:eastAsia="SimSun" w:hAnsi="Arial" w:cs="Arial"/>
          <w:b/>
          <w:kern w:val="2"/>
          <w:sz w:val="22"/>
          <w:szCs w:val="22"/>
          <w:lang w:val="en-US" w:eastAsia="zh-CN"/>
        </w:rPr>
        <w:t>11373</w:t>
      </w:r>
      <w:r w:rsidR="00DB1306">
        <w:rPr>
          <w:rFonts w:ascii="Arial" w:eastAsia="SimSun" w:hAnsi="Arial" w:cs="Arial"/>
          <w:b/>
          <w:kern w:val="2"/>
          <w:sz w:val="22"/>
          <w:szCs w:val="22"/>
          <w:lang w:val="en-US" w:eastAsia="zh-CN"/>
        </w:rPr>
        <w:t>)</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(similar to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Pending on the conclusion of the RAN SI FS_NR_NTN_netw_verif_UE_loc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DB4270A" w:rsidR="00A158AA" w:rsidRDefault="00A158AA" w:rsidP="00521CB4">
      <w:pPr>
        <w:spacing w:after="120"/>
        <w:jc w:val="both"/>
        <w:rPr>
          <w:color w:val="000000" w:themeColor="text1"/>
          <w:sz w:val="20"/>
          <w:lang w:val="en-US" w:eastAsia="fr-FR"/>
        </w:rPr>
      </w:pPr>
    </w:p>
    <w:p w14:paraId="034AA42C" w14:textId="47ED7F59" w:rsidR="00BD4CAD" w:rsidRDefault="00BD4CAD" w:rsidP="00521CB4">
      <w:pPr>
        <w:spacing w:after="120"/>
        <w:jc w:val="both"/>
        <w:rPr>
          <w:color w:val="000000" w:themeColor="text1"/>
          <w:sz w:val="20"/>
          <w:lang w:val="en-US" w:eastAsia="fr-FR"/>
        </w:rPr>
      </w:pPr>
      <w:r>
        <w:rPr>
          <w:color w:val="000000" w:themeColor="text1"/>
          <w:sz w:val="20"/>
          <w:lang w:val="en-US" w:eastAsia="fr-FR"/>
        </w:rPr>
        <w:t>This Network-verified UE location was discussed in RAN2 119bis-e meeting and the following agreements were made:</w:t>
      </w:r>
    </w:p>
    <w:tbl>
      <w:tblPr>
        <w:tblStyle w:val="TableGrid"/>
        <w:tblW w:w="0" w:type="auto"/>
        <w:tblLook w:val="04A0" w:firstRow="1" w:lastRow="0" w:firstColumn="1" w:lastColumn="0" w:noHBand="0" w:noVBand="1"/>
      </w:tblPr>
      <w:tblGrid>
        <w:gridCol w:w="9350"/>
      </w:tblGrid>
      <w:tr w:rsidR="00BD4CAD" w14:paraId="49DB4CF0" w14:textId="77777777" w:rsidTr="00BD4CAD">
        <w:tc>
          <w:tcPr>
            <w:tcW w:w="9350" w:type="dxa"/>
          </w:tcPr>
          <w:p w14:paraId="69CDD664" w14:textId="77777777" w:rsidR="00BD4CAD" w:rsidRPr="00BD4CAD" w:rsidRDefault="00BD4CAD" w:rsidP="00BD4CAD">
            <w:pPr>
              <w:spacing w:after="120"/>
              <w:jc w:val="both"/>
              <w:rPr>
                <w:color w:val="000000" w:themeColor="text1"/>
                <w:sz w:val="20"/>
                <w:lang w:val="en-US" w:eastAsia="fr-FR"/>
              </w:rPr>
            </w:pPr>
            <w:r w:rsidRPr="00BD4CAD">
              <w:rPr>
                <w:b/>
                <w:bCs/>
                <w:color w:val="000000" w:themeColor="text1"/>
                <w:sz w:val="20"/>
                <w:u w:val="single"/>
                <w:lang w:val="en-US" w:eastAsia="fr-FR"/>
              </w:rPr>
              <w:t>Agreements</w:t>
            </w:r>
            <w:r w:rsidRPr="00BD4CAD">
              <w:rPr>
                <w:color w:val="000000" w:themeColor="text1"/>
                <w:sz w:val="20"/>
                <w:lang w:val="en-US" w:eastAsia="fr-FR"/>
              </w:rPr>
              <w:t>:</w:t>
            </w:r>
          </w:p>
          <w:p w14:paraId="18A6B54A"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1.</w:t>
            </w:r>
            <w:r w:rsidRPr="00BD4CAD">
              <w:rPr>
                <w:color w:val="000000" w:themeColor="text1"/>
                <w:sz w:val="20"/>
                <w:lang w:val="en-US" w:eastAsia="fr-FR"/>
              </w:rPr>
              <w:tab/>
              <w:t>RAN2 assumes that the network is able to compute possible UE locations independently from the GNSS location reported by UE</w:t>
            </w:r>
          </w:p>
          <w:p w14:paraId="4E858E21"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2.</w:t>
            </w:r>
            <w:r w:rsidRPr="00BD4CAD">
              <w:rPr>
                <w:color w:val="000000" w:themeColor="text1"/>
                <w:sz w:val="20"/>
                <w:lang w:val="en-US" w:eastAsia="fr-FR"/>
              </w:rPr>
              <w:tab/>
              <w:t>RAN2 assumes that the UE location verification procedure can be triggered by the CN and it is up to the CN to decide when to trigger the procedure</w:t>
            </w:r>
          </w:p>
          <w:p w14:paraId="74AA754E"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3.</w:t>
            </w:r>
            <w:r w:rsidRPr="00BD4CAD">
              <w:rPr>
                <w:color w:val="000000" w:themeColor="text1"/>
                <w:sz w:val="20"/>
                <w:lang w:val="en-US" w:eastAsia="fr-FR"/>
              </w:rPr>
              <w:tab/>
              <w:t>RAN2 should consider in priority the NGSO case with earth moving and earth fixed beams for the definition of the UE location verification procedure</w:t>
            </w:r>
          </w:p>
          <w:p w14:paraId="4A633210"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4.</w:t>
            </w:r>
            <w:r w:rsidRPr="00BD4CAD">
              <w:rPr>
                <w:color w:val="000000" w:themeColor="text1"/>
                <w:sz w:val="20"/>
                <w:lang w:val="en-US" w:eastAsia="fr-FR"/>
              </w:rPr>
              <w:tab/>
              <w:t>Multi-connectivity involving multiple NTN NG-RAN nodes or NTN NG-RAN node and TN NG-RAN node is not part of the Rel-18 study on UE location verification</w:t>
            </w:r>
          </w:p>
          <w:p w14:paraId="3393D83C" w14:textId="5A846C0C" w:rsid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5.</w:t>
            </w:r>
            <w:r w:rsidRPr="00BD4CAD">
              <w:rPr>
                <w:color w:val="000000" w:themeColor="text1"/>
                <w:sz w:val="20"/>
                <w:lang w:val="en-US" w:eastAsia="fr-FR"/>
              </w:rPr>
              <w:tab/>
              <w:t>RAN2 assumes that the verification of the consistency (within 5-10 km) between the actual reported UE location with the UE location(s) computed by the network is up to the 5GC. (this doesn’t mean that RAN2 has nothing to do for this WI objective)</w:t>
            </w:r>
          </w:p>
        </w:tc>
      </w:tr>
    </w:tbl>
    <w:p w14:paraId="00F26484" w14:textId="77777777" w:rsidR="00BD4CAD" w:rsidRDefault="00BD4CAD" w:rsidP="00521CB4">
      <w:pPr>
        <w:spacing w:after="120"/>
        <w:jc w:val="both"/>
        <w:rPr>
          <w:color w:val="000000" w:themeColor="text1"/>
          <w:sz w:val="20"/>
          <w:lang w:val="en-US" w:eastAsia="fr-FR"/>
        </w:rPr>
      </w:pPr>
    </w:p>
    <w:p w14:paraId="68D48F56" w14:textId="7167A26E"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w:t>
      </w:r>
      <w:r w:rsidR="006D6A9A">
        <w:rPr>
          <w:rFonts w:eastAsiaTheme="minorEastAsia"/>
          <w:bCs/>
          <w:sz w:val="20"/>
          <w:lang w:eastAsia="zh-CN"/>
        </w:rPr>
        <w:t xml:space="preserve">, under consideration </w:t>
      </w:r>
      <w:r w:rsidRPr="00DF3A8A">
        <w:rPr>
          <w:rFonts w:eastAsiaTheme="minorEastAsia"/>
          <w:bCs/>
          <w:sz w:val="20"/>
          <w:lang w:eastAsia="zh-CN"/>
        </w:rPr>
        <w:t>and their relative merits.</w:t>
      </w:r>
      <w:r w:rsidR="006D6A9A">
        <w:rPr>
          <w:rFonts w:eastAsiaTheme="minorEastAsia"/>
          <w:bCs/>
          <w:sz w:val="20"/>
          <w:lang w:eastAsia="zh-CN"/>
        </w:rPr>
        <w:t xml:space="preserve"> </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Multiple RTT solutions for network verified UE location for NR NTN </w:t>
      </w:r>
    </w:p>
    <w:p w14:paraId="6F43395C" w14:textId="635292B0" w:rsidR="00BD4CAD" w:rsidRDefault="00BD4CAD" w:rsidP="00DF3A8A">
      <w:pPr>
        <w:spacing w:after="120"/>
        <w:jc w:val="both"/>
        <w:rPr>
          <w:rFonts w:eastAsiaTheme="minorEastAsia"/>
          <w:sz w:val="20"/>
          <w:lang w:eastAsia="zh-CN"/>
        </w:rPr>
      </w:pPr>
    </w:p>
    <w:p w14:paraId="4EDDAF58" w14:textId="22C08E99" w:rsidR="00DF3A8A" w:rsidRDefault="00BD4CAD" w:rsidP="00DF3A8A">
      <w:pPr>
        <w:spacing w:after="120"/>
        <w:jc w:val="both"/>
        <w:rPr>
          <w:rFonts w:eastAsiaTheme="minorEastAsia"/>
          <w:sz w:val="20"/>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73ADBF78" wp14:editId="2EAC4ADB">
                <wp:simplePos x="0" y="0"/>
                <wp:positionH relativeFrom="margin">
                  <wp:align>left</wp:align>
                </wp:positionH>
                <wp:positionV relativeFrom="paragraph">
                  <wp:posOffset>45720</wp:posOffset>
                </wp:positionV>
                <wp:extent cx="3340735" cy="1985010"/>
                <wp:effectExtent l="0" t="0" r="1206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735" cy="1985010"/>
                        </a:xfrm>
                        <a:prstGeom prst="rect">
                          <a:avLst/>
                        </a:prstGeom>
                        <a:solidFill>
                          <a:srgbClr val="FFFFFF"/>
                        </a:solidFill>
                        <a:ln w="9525">
                          <a:solidFill>
                            <a:srgbClr val="000000"/>
                          </a:solidFill>
                          <a:miter lim="800000"/>
                          <a:headEnd/>
                          <a:tailEnd/>
                        </a:ln>
                      </wps:spPr>
                      <wps:txb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ADBF78" id="_x0000_t202" coordsize="21600,21600" o:spt="202" path="m,l,21600r21600,l21600,xe">
                <v:stroke joinstyle="miter"/>
                <v:path gradientshapeok="t" o:connecttype="rect"/>
              </v:shapetype>
              <v:shape id="Text Box 2" o:spid="_x0000_s1026" type="#_x0000_t202" style="position:absolute;left:0;text-align:left;margin-left:0;margin-top:3.6pt;width:263.05pt;height:156.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">
                <v:textbo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v:textbox>
                <w10:wrap type="square" anchorx="margin"/>
              </v:shape>
            </w:pict>
          </mc:Fallback>
        </mc:AlternateContent>
      </w:r>
      <w:r w:rsidR="0066133D">
        <w:rPr>
          <w:rFonts w:eastAsiaTheme="minorEastAsia"/>
          <w:sz w:val="20"/>
          <w:lang w:eastAsia="zh-CN"/>
        </w:rPr>
        <w:t>RAN1 is currently discussing “</w:t>
      </w:r>
      <w:r w:rsidR="00DF3A8A" w:rsidRPr="00DF3A8A">
        <w:rPr>
          <w:rFonts w:eastAsiaTheme="minorEastAsia"/>
          <w:sz w:val="20"/>
          <w:lang w:eastAsia="zh-CN"/>
        </w:rPr>
        <w:t>Multiple RTT</w:t>
      </w:r>
      <w:r w:rsidR="0066133D">
        <w:rPr>
          <w:rFonts w:eastAsiaTheme="minorEastAsia"/>
          <w:sz w:val="20"/>
          <w:lang w:eastAsia="zh-CN"/>
        </w:rPr>
        <w:t xml:space="preserve">” </w:t>
      </w:r>
      <w:r w:rsidR="00DF3A8A" w:rsidRPr="00DF3A8A">
        <w:rPr>
          <w:rFonts w:eastAsiaTheme="minorEastAsia"/>
          <w:sz w:val="20"/>
          <w:lang w:eastAsia="zh-CN"/>
        </w:rPr>
        <w:t>method</w:t>
      </w:r>
      <w:r w:rsidR="0066133D">
        <w:rPr>
          <w:rFonts w:eastAsiaTheme="minorEastAsia"/>
          <w:sz w:val="20"/>
          <w:lang w:eastAsia="zh-CN"/>
        </w:rPr>
        <w:t>, as</w:t>
      </w:r>
      <w:r w:rsidR="00DF3A8A" w:rsidRPr="00DF3A8A">
        <w:rPr>
          <w:rFonts w:eastAsiaTheme="minorEastAsia"/>
          <w:sz w:val="20"/>
          <w:lang w:eastAsia="zh-CN"/>
        </w:rPr>
        <w:t xml:space="preserve"> illustrated in Figure 1. It requires RTT between UE and a single satellite to be determined at different times. The RTTs could be determined by the UE using its location and the satellite ephemeris to calculate the UE-specific TA at time t</w:t>
      </w:r>
      <w:r w:rsidR="00DF3A8A" w:rsidRPr="00DF3A8A">
        <w:rPr>
          <w:rFonts w:eastAsiaTheme="minorEastAsia"/>
          <w:sz w:val="20"/>
          <w:vertAlign w:val="subscript"/>
          <w:lang w:eastAsia="zh-CN"/>
        </w:rPr>
        <w:t>0</w:t>
      </w:r>
      <w:r w:rsidR="00DF3A8A" w:rsidRPr="00DF3A8A">
        <w:rPr>
          <w:rFonts w:eastAsiaTheme="minorEastAsia"/>
          <w:sz w:val="20"/>
          <w:lang w:eastAsia="zh-CN"/>
        </w:rPr>
        <w:t>, t</w:t>
      </w:r>
      <w:r w:rsidR="00DF3A8A" w:rsidRPr="00DF3A8A">
        <w:rPr>
          <w:rFonts w:eastAsiaTheme="minorEastAsia"/>
          <w:sz w:val="20"/>
          <w:vertAlign w:val="subscript"/>
          <w:lang w:eastAsia="zh-CN"/>
        </w:rPr>
        <w:t>1</w:t>
      </w:r>
      <w:r w:rsidR="00DF3A8A" w:rsidRPr="00DF3A8A">
        <w:rPr>
          <w:rFonts w:eastAsiaTheme="minorEastAsia"/>
          <w:sz w:val="20"/>
          <w:lang w:eastAsia="zh-CN"/>
        </w:rPr>
        <w:t>, t</w:t>
      </w:r>
      <w:r w:rsidR="00DF3A8A" w:rsidRPr="00DF3A8A">
        <w:rPr>
          <w:rFonts w:eastAsiaTheme="minorEastAsia"/>
          <w:sz w:val="20"/>
          <w:vertAlign w:val="subscript"/>
          <w:lang w:eastAsia="zh-CN"/>
        </w:rPr>
        <w:t>2</w:t>
      </w:r>
      <w:r w:rsidR="00DF3A8A" w:rsidRPr="00DF3A8A">
        <w:rPr>
          <w:rFonts w:eastAsiaTheme="minorEastAsia"/>
          <w:sz w:val="20"/>
          <w:lang w:eastAsia="zh-CN"/>
        </w:rPr>
        <w:t>, t</w:t>
      </w:r>
      <w:r w:rsidR="00DF3A8A" w:rsidRPr="00DF3A8A">
        <w:rPr>
          <w:rFonts w:eastAsiaTheme="minorEastAsia"/>
          <w:sz w:val="20"/>
          <w:vertAlign w:val="subscript"/>
          <w:lang w:eastAsia="zh-CN"/>
        </w:rPr>
        <w:t>3</w:t>
      </w:r>
      <w:r w:rsidR="00DF3A8A" w:rsidRPr="00DF3A8A">
        <w:rPr>
          <w:rFonts w:eastAsiaTheme="minorEastAsia"/>
          <w:sz w:val="20"/>
          <w:lang w:eastAsia="zh-CN"/>
        </w:rPr>
        <w:t xml:space="preserve"> and reporting these to the network. On the other hand, it could also be determined by gNB and UE together, where serving gNB measures its gNB Rx-Tx time difference from SRS and reports it to LMF  (since UE applies UE pre-compensation before transmitting SRS, the UE-specific TA needs to be also reported for determination of the RTT); and where UE measures and reports its UE Rx-Tx time difference from PRS and reports it to the LMF.  The measured timing difference at eNB and at UE allow the calculation of the RTT at the LMF. </w:t>
      </w: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 The UE may require measurement gaps to perform the Multi-RTT measurements from NR TRPs.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RAN2 specified UE-specific TA MAC CE consists of only one field with length 14 bits (+ 2 reserved bits), which contains the UE estimate of full UE-specific TA. The granularity of the UE-specific TA report is 1 ms. It is necessary to discuss finer accuracy, as 1 ms granularity would lead to very large position error for each TA report (1 ms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RAN1/RAN2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71C39D6B" w14:textId="6EC4283D"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sz w:val="20"/>
          <w:lang w:eastAsia="zh-CN"/>
        </w:rPr>
        <w:t xml:space="preserve">: </w:t>
      </w:r>
      <w:r w:rsidRPr="00DF3A8A">
        <w:rPr>
          <w:rFonts w:eastAsiaTheme="minorEastAsia"/>
          <w:b/>
          <w:bCs/>
          <w:sz w:val="20"/>
          <w:lang w:eastAsia="zh-CN"/>
        </w:rPr>
        <w:t xml:space="preserve">If </w:t>
      </w:r>
      <w:r w:rsidR="00BD4CAD">
        <w:rPr>
          <w:rFonts w:eastAsiaTheme="minorEastAsia"/>
          <w:b/>
          <w:bCs/>
          <w:sz w:val="20"/>
          <w:lang w:eastAsia="zh-CN"/>
        </w:rPr>
        <w:t>RAN1 agrees to Multiple-RTT method then</w:t>
      </w:r>
      <w:r w:rsidRPr="00DF3A8A">
        <w:rPr>
          <w:rFonts w:eastAsiaTheme="minorEastAsia"/>
          <w:b/>
          <w:bCs/>
          <w:sz w:val="20"/>
          <w:lang w:eastAsia="zh-CN"/>
        </w:rPr>
        <w:t xml:space="preserve"> RAN2 should discuss a procedure where the UE is configured to transmit UE-specific TA reports several times for a serving cell over a short period of time immediately after moving to connected.</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gNB cannot estimate ToA from SRS transmission alone as it has no way of knowing UE-specific TA unless it is reported. If UE reports the UE-specific TA with high accuracy, it is not clear what benefit there is in UE transmitting SRS as the ToA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xml:space="preserve">: This method can be used at least for multiple satellites for LEO and MEO. To our understanding, legacy OTDOA positioning requires a Timing of Arrival (ToA) of a reference serving cell and the ToAs of several cells measured at the UE. The UE keeps synchronized to serving satellite on DL. RAN1 can further discuss applicability of method for single satellite scenario. In particular, how the UE can determine the ToA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and also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ToA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39B8D205" w14:textId="6F956390"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b/>
          <w:bCs/>
          <w:sz w:val="20"/>
          <w:lang w:eastAsia="zh-CN"/>
        </w:rPr>
        <w:t xml:space="preserve">: </w:t>
      </w:r>
      <w:r w:rsidR="00BD4CAD" w:rsidRPr="00DF3A8A">
        <w:rPr>
          <w:rFonts w:eastAsiaTheme="minorEastAsia"/>
          <w:b/>
          <w:bCs/>
          <w:sz w:val="20"/>
          <w:lang w:eastAsia="zh-CN"/>
        </w:rPr>
        <w:t xml:space="preserve">If </w:t>
      </w:r>
      <w:r w:rsidR="00BD4CAD">
        <w:rPr>
          <w:rFonts w:eastAsiaTheme="minorEastAsia"/>
          <w:b/>
          <w:bCs/>
          <w:sz w:val="20"/>
          <w:lang w:eastAsia="zh-CN"/>
        </w:rPr>
        <w:t xml:space="preserve">RAN1 agrees to Multiple-RTT method </w:t>
      </w:r>
      <w:r w:rsidRPr="00DF3A8A">
        <w:rPr>
          <w:rFonts w:eastAsiaTheme="minorEastAsia"/>
          <w:b/>
          <w:bCs/>
          <w:sz w:val="20"/>
          <w:lang w:eastAsia="zh-CN"/>
        </w:rPr>
        <w:t>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79E45" w14:textId="77777777" w:rsidR="00225D44" w:rsidRDefault="00225D44" w:rsidP="005F2BBB">
      <w:r>
        <w:separator/>
      </w:r>
    </w:p>
  </w:endnote>
  <w:endnote w:type="continuationSeparator" w:id="0">
    <w:p w14:paraId="26115E8F" w14:textId="77777777" w:rsidR="00225D44" w:rsidRDefault="00225D44"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997C7" w14:textId="77777777" w:rsidR="00225D44" w:rsidRDefault="00225D44" w:rsidP="005F2BBB">
      <w:r>
        <w:separator/>
      </w:r>
    </w:p>
  </w:footnote>
  <w:footnote w:type="continuationSeparator" w:id="0">
    <w:p w14:paraId="4B71AB74" w14:textId="77777777" w:rsidR="00225D44" w:rsidRDefault="00225D44"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7643A"/>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25D44"/>
    <w:rsid w:val="002318A0"/>
    <w:rsid w:val="00235FF1"/>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3C65"/>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133D"/>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D6A9A"/>
    <w:rsid w:val="006E680D"/>
    <w:rsid w:val="006F4206"/>
    <w:rsid w:val="00701B02"/>
    <w:rsid w:val="00705469"/>
    <w:rsid w:val="00712321"/>
    <w:rsid w:val="00717031"/>
    <w:rsid w:val="00721C58"/>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0D00"/>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D4CAD"/>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1306"/>
    <w:rsid w:val="00DB5A44"/>
    <w:rsid w:val="00DB5B4F"/>
    <w:rsid w:val="00DC1022"/>
    <w:rsid w:val="00DC2E96"/>
    <w:rsid w:val="00DC7156"/>
    <w:rsid w:val="00DE0B50"/>
    <w:rsid w:val="00DE0C51"/>
    <w:rsid w:val="00DE28AE"/>
    <w:rsid w:val="00DF367D"/>
    <w:rsid w:val="00DF3A8A"/>
    <w:rsid w:val="00DF427C"/>
    <w:rsid w:val="00E108E4"/>
    <w:rsid w:val="00E15F5E"/>
    <w:rsid w:val="00E2034F"/>
    <w:rsid w:val="00E22AD9"/>
    <w:rsid w:val="00E24F52"/>
    <w:rsid w:val="00E25706"/>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2497"/>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 [MediaTek]</cp:lastModifiedBy>
  <cp:revision>3</cp:revision>
  <dcterms:created xsi:type="dcterms:W3CDTF">2023-02-16T17:13:00Z</dcterms:created>
  <dcterms:modified xsi:type="dcterms:W3CDTF">2023-02-16T17:15:00Z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2022-11-03T18:27:33Z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927fa868-c6d7-4a00-b0e9-7190c025d325</vt:lpwstr>
  </property>
  <property fmtid="{D5CDD505-2E9C-101B-9397-08002B2CF9AE}" pid="9" name="MSIP_Label_83bcef13-7cac-433f-ba1d-47a323951816_ContentBits">
    <vt:lpwstr>0</vt:lpwstr>
  </property>
</Properties>
</file>